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13" w:rsidRPr="00396313" w:rsidRDefault="00396313" w:rsidP="00396313">
      <w:pPr>
        <w:sectPr w:rsidR="00396313" w:rsidRPr="00396313">
          <w:footnotePr>
            <w:numRestart w:val="eachSect"/>
          </w:footnotePr>
          <w:pgSz w:w="11907" w:h="16839"/>
          <w:pgMar w:top="1134" w:right="850" w:bottom="1134" w:left="1701" w:header="720" w:footer="720" w:gutter="0"/>
          <w:pgNumType w:start="1"/>
          <w:cols w:space="720"/>
        </w:sectPr>
      </w:pPr>
    </w:p>
    <w:p w:rsidR="00396313" w:rsidRPr="0015700B" w:rsidRDefault="00396313" w:rsidP="002A42EE">
      <w:pPr>
        <w:jc w:val="right"/>
        <w:rPr>
          <w:rFonts w:asciiTheme="majorHAnsi" w:hAnsiTheme="majorHAnsi"/>
        </w:rPr>
      </w:pPr>
      <w:bookmarkStart w:id="0" w:name="_docEnd_1"/>
      <w:bookmarkEnd w:id="0"/>
      <w:r w:rsidRPr="0015700B">
        <w:rPr>
          <w:rFonts w:asciiTheme="majorHAnsi" w:hAnsiTheme="majorHAnsi"/>
        </w:rPr>
        <w:lastRenderedPageBreak/>
        <w:t>Приложение</w:t>
      </w:r>
      <w:r w:rsidRPr="0015700B">
        <w:rPr>
          <w:rFonts w:asciiTheme="majorHAnsi" w:hAnsiTheme="majorHAnsi"/>
        </w:rPr>
        <w:br/>
        <w:t xml:space="preserve">к Приказу от </w:t>
      </w:r>
      <w:r w:rsidRPr="0015700B">
        <w:rPr>
          <w:rFonts w:asciiTheme="majorHAnsi" w:hAnsiTheme="majorHAnsi"/>
          <w:u w:val="single"/>
        </w:rPr>
        <w:t>25.12.202</w:t>
      </w:r>
      <w:r w:rsidR="0015700B" w:rsidRPr="0015700B">
        <w:rPr>
          <w:rFonts w:asciiTheme="majorHAnsi" w:hAnsiTheme="majorHAnsi"/>
          <w:u w:val="single"/>
        </w:rPr>
        <w:t>2</w:t>
      </w:r>
      <w:r w:rsidRPr="0015700B">
        <w:rPr>
          <w:rFonts w:asciiTheme="majorHAnsi" w:hAnsiTheme="majorHAnsi"/>
        </w:rPr>
        <w:t xml:space="preserve"> №</w:t>
      </w:r>
      <w:r w:rsidRPr="0015700B">
        <w:rPr>
          <w:rFonts w:asciiTheme="majorHAnsi" w:hAnsiTheme="majorHAnsi"/>
          <w:u w:val="single"/>
        </w:rPr>
        <w:t>37</w:t>
      </w:r>
    </w:p>
    <w:p w:rsidR="00396313" w:rsidRPr="0015700B" w:rsidRDefault="00396313" w:rsidP="00396313">
      <w:pPr>
        <w:jc w:val="center"/>
        <w:rPr>
          <w:rFonts w:asciiTheme="majorHAnsi" w:hAnsiTheme="majorHAnsi"/>
          <w:b/>
        </w:rPr>
      </w:pPr>
      <w:bookmarkStart w:id="1" w:name="_docStart_2"/>
      <w:bookmarkStart w:id="2" w:name="_title_2"/>
      <w:bookmarkStart w:id="3" w:name="_ref_1-53ec3b01a7f640"/>
      <w:bookmarkEnd w:id="1"/>
      <w:r w:rsidRPr="0015700B">
        <w:rPr>
          <w:rFonts w:asciiTheme="majorHAnsi" w:hAnsiTheme="majorHAnsi"/>
          <w:b/>
        </w:rPr>
        <w:t>Учетная политика</w:t>
      </w:r>
      <w:r w:rsidRPr="0015700B">
        <w:rPr>
          <w:rFonts w:asciiTheme="majorHAnsi" w:hAnsiTheme="majorHAnsi"/>
          <w:b/>
        </w:rPr>
        <w:br/>
      </w:r>
      <w:r w:rsidRPr="0015700B">
        <w:rPr>
          <w:rFonts w:asciiTheme="majorHAnsi" w:hAnsiTheme="majorHAnsi"/>
          <w:b/>
          <w:u w:val="single"/>
        </w:rPr>
        <w:t>муниципального бюджетного учреждения культуры «Театр актера и куклы «Крошка»      </w:t>
      </w:r>
      <w:r w:rsidRPr="0015700B">
        <w:rPr>
          <w:rFonts w:asciiTheme="majorHAnsi" w:hAnsiTheme="majorHAnsi"/>
          <w:b/>
        </w:rPr>
        <w:br/>
        <w:t>для целей налогообложения</w:t>
      </w:r>
      <w:bookmarkEnd w:id="2"/>
      <w:bookmarkEnd w:id="3"/>
    </w:p>
    <w:p w:rsidR="00396313" w:rsidRPr="0015700B" w:rsidRDefault="00396313" w:rsidP="00396313">
      <w:pPr>
        <w:numPr>
          <w:ilvl w:val="0"/>
          <w:numId w:val="2"/>
        </w:numPr>
        <w:rPr>
          <w:rFonts w:asciiTheme="majorHAnsi" w:hAnsiTheme="majorHAnsi"/>
          <w:b/>
          <w:bCs/>
        </w:rPr>
      </w:pPr>
      <w:bookmarkStart w:id="4" w:name="_ref_1-3c0b0930f96640"/>
      <w:r w:rsidRPr="0015700B">
        <w:rPr>
          <w:rFonts w:asciiTheme="majorHAnsi" w:hAnsiTheme="majorHAnsi"/>
          <w:b/>
          <w:bCs/>
        </w:rPr>
        <w:t>Организационные положения</w:t>
      </w:r>
      <w:bookmarkEnd w:id="4"/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5" w:name="_ref_1-38dab9ad17a148"/>
      <w:r w:rsidRPr="0015700B">
        <w:rPr>
          <w:rFonts w:asciiTheme="majorHAnsi" w:hAnsiTheme="majorHAnsi"/>
          <w:bCs/>
        </w:rPr>
        <w:t>Учет данных для целей налогообложения ведется  бухгалтерской службой (бухгалтерией), возглавляемой главным бухгалтером</w:t>
      </w:r>
      <w:proofErr w:type="gramStart"/>
      <w:r w:rsidRPr="0015700B">
        <w:rPr>
          <w:rFonts w:asciiTheme="majorHAnsi" w:hAnsiTheme="majorHAnsi"/>
          <w:bCs/>
        </w:rPr>
        <w:t>..</w:t>
      </w:r>
      <w:bookmarkEnd w:id="5"/>
      <w:proofErr w:type="gramEnd"/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6" w:name="_ref_1-17e52c8c5f964f"/>
      <w:r w:rsidRPr="0015700B">
        <w:rPr>
          <w:rFonts w:asciiTheme="majorHAnsi" w:hAnsiTheme="majorHAnsi"/>
          <w:bCs/>
        </w:rPr>
        <w:t xml:space="preserve">Форма ведения учета данных для целей налогообложения - автоматизированная с применением компьютерной программы </w:t>
      </w:r>
      <w:r w:rsidRPr="0015700B">
        <w:rPr>
          <w:rFonts w:asciiTheme="majorHAnsi" w:hAnsiTheme="majorHAnsi"/>
          <w:bCs/>
          <w:u w:val="single"/>
        </w:rPr>
        <w:t>    «1 С Бухгалтерия» и зарплатной программы «Камин»</w:t>
      </w:r>
      <w:proofErr w:type="gramStart"/>
      <w:r w:rsidRPr="0015700B">
        <w:rPr>
          <w:rFonts w:asciiTheme="majorHAnsi" w:hAnsiTheme="majorHAnsi"/>
          <w:bCs/>
          <w:u w:val="single"/>
        </w:rPr>
        <w:t xml:space="preserve">    </w:t>
      </w:r>
      <w:r w:rsidRPr="0015700B">
        <w:rPr>
          <w:rFonts w:asciiTheme="majorHAnsi" w:hAnsiTheme="majorHAnsi"/>
          <w:bCs/>
        </w:rPr>
        <w:t>.</w:t>
      </w:r>
      <w:bookmarkEnd w:id="6"/>
      <w:proofErr w:type="gramEnd"/>
    </w:p>
    <w:p w:rsidR="00396313" w:rsidRPr="0015700B" w:rsidRDefault="00396313" w:rsidP="00396313">
      <w:pPr>
        <w:rPr>
          <w:rFonts w:asciiTheme="majorHAnsi" w:hAnsiTheme="majorHAnsi"/>
          <w:b/>
          <w:bCs/>
        </w:rPr>
      </w:pPr>
      <w:bookmarkStart w:id="7" w:name="_ref_1-3ca545613a5644"/>
      <w:r w:rsidRPr="0015700B">
        <w:rPr>
          <w:rFonts w:asciiTheme="majorHAnsi" w:hAnsiTheme="majorHAnsi"/>
          <w:b/>
          <w:bCs/>
        </w:rPr>
        <w:t>Налог на добавленную стоимость</w:t>
      </w:r>
      <w:bookmarkEnd w:id="7"/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8" w:name="_ref_1-09ae06fb397346"/>
      <w:r w:rsidRPr="0015700B">
        <w:rPr>
          <w:rFonts w:asciiTheme="majorHAnsi" w:hAnsiTheme="majorHAnsi"/>
          <w:bCs/>
        </w:rPr>
        <w:t>Нумерация счетов-фактур производится в хронологическом порядке с начала календарного года.</w:t>
      </w:r>
      <w:bookmarkEnd w:id="8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6" w:history="1">
        <w:proofErr w:type="spellStart"/>
        <w:r w:rsidRPr="0015700B">
          <w:rPr>
            <w:rStyle w:val="a3"/>
            <w:rFonts w:asciiTheme="majorHAnsi" w:hAnsiTheme="majorHAnsi"/>
            <w:b/>
            <w:i/>
            <w:color w:val="auto"/>
          </w:rPr>
          <w:t>пп</w:t>
        </w:r>
        <w:proofErr w:type="spellEnd"/>
        <w:r w:rsidRPr="0015700B">
          <w:rPr>
            <w:rStyle w:val="a3"/>
            <w:rFonts w:asciiTheme="majorHAnsi" w:hAnsiTheme="majorHAnsi"/>
            <w:b/>
            <w:i/>
            <w:color w:val="auto"/>
          </w:rPr>
          <w:t>. 1 п. 5 ст. 169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9" w:name="_ref_1-50789e003a1647"/>
      <w:r w:rsidRPr="0015700B">
        <w:rPr>
          <w:rFonts w:asciiTheme="majorHAnsi" w:hAnsiTheme="majorHAnsi"/>
          <w:bCs/>
        </w:rPr>
        <w:t>Раздельный учет по НДС</w:t>
      </w:r>
      <w:bookmarkEnd w:id="9"/>
      <w:r w:rsidRPr="0015700B">
        <w:rPr>
          <w:rFonts w:asciiTheme="majorHAnsi" w:hAnsiTheme="majorHAnsi"/>
          <w:bCs/>
        </w:rPr>
        <w:t xml:space="preserve"> не ведется</w:t>
      </w:r>
    </w:p>
    <w:p w:rsidR="00396313" w:rsidRPr="0015700B" w:rsidRDefault="00396313" w:rsidP="002A42EE">
      <w:pPr>
        <w:jc w:val="both"/>
        <w:rPr>
          <w:rFonts w:asciiTheme="majorHAnsi" w:hAnsiTheme="majorHAnsi"/>
        </w:rPr>
      </w:pPr>
      <w:r w:rsidRPr="0015700B">
        <w:rPr>
          <w:rFonts w:asciiTheme="majorHAnsi" w:hAnsiTheme="majorHAnsi"/>
        </w:rPr>
        <w:t>Ставка налога на добавленную стоимость на прочие услуги, предоставление в аренду помещения составляет -20%;</w:t>
      </w:r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10" w:name="_ref_1-d9f795ab1a764c"/>
      <w:r w:rsidRPr="0015700B">
        <w:rPr>
          <w:rFonts w:asciiTheme="majorHAnsi" w:hAnsiTheme="majorHAnsi"/>
          <w:bCs/>
        </w:rPr>
        <w:t>Периодом для расчета НДС</w:t>
      </w:r>
      <w:bookmarkEnd w:id="10"/>
      <w:r w:rsidRPr="0015700B">
        <w:rPr>
          <w:rFonts w:asciiTheme="majorHAnsi" w:hAnsiTheme="majorHAnsi"/>
          <w:bCs/>
        </w:rPr>
        <w:t xml:space="preserve"> является квартал</w:t>
      </w:r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r w:rsidRPr="0015700B">
        <w:rPr>
          <w:rFonts w:asciiTheme="majorHAnsi" w:hAnsiTheme="majorHAnsi"/>
          <w:bCs/>
        </w:rPr>
        <w:t>Основная деятельность театра в области культуры и искусства налогом НДС не облагается.</w:t>
      </w:r>
    </w:p>
    <w:p w:rsidR="00396313" w:rsidRPr="0015700B" w:rsidRDefault="00396313" w:rsidP="00396313">
      <w:pPr>
        <w:rPr>
          <w:rFonts w:asciiTheme="majorHAnsi" w:hAnsiTheme="majorHAnsi"/>
        </w:rPr>
      </w:pPr>
      <w:r w:rsidRPr="0015700B">
        <w:rPr>
          <w:rFonts w:asciiTheme="majorHAnsi" w:hAnsiTheme="majorHAnsi"/>
        </w:rPr>
        <w:t>(</w:t>
      </w:r>
      <w:proofErr w:type="gramStart"/>
      <w:r w:rsidRPr="0015700B">
        <w:rPr>
          <w:rFonts w:asciiTheme="majorHAnsi" w:hAnsiTheme="majorHAnsi"/>
        </w:rPr>
        <w:t>основании</w:t>
      </w:r>
      <w:proofErr w:type="gramEnd"/>
      <w:r w:rsidRPr="0015700B">
        <w:rPr>
          <w:rFonts w:asciiTheme="majorHAnsi" w:hAnsiTheme="majorHAnsi"/>
        </w:rPr>
        <w:t xml:space="preserve"> </w:t>
      </w:r>
      <w:proofErr w:type="spellStart"/>
      <w:r w:rsidRPr="0015700B">
        <w:rPr>
          <w:rFonts w:asciiTheme="majorHAnsi" w:hAnsiTheme="majorHAnsi"/>
          <w:bCs/>
          <w:i/>
        </w:rPr>
        <w:t>пп</w:t>
      </w:r>
      <w:proofErr w:type="spellEnd"/>
      <w:r w:rsidRPr="0015700B">
        <w:rPr>
          <w:rFonts w:asciiTheme="majorHAnsi" w:hAnsiTheme="majorHAnsi"/>
          <w:bCs/>
          <w:i/>
        </w:rPr>
        <w:t>.</w:t>
      </w:r>
      <w:r w:rsidRPr="0015700B">
        <w:rPr>
          <w:rFonts w:asciiTheme="majorHAnsi" w:hAnsiTheme="majorHAnsi"/>
          <w:i/>
        </w:rPr>
        <w:t xml:space="preserve"> </w:t>
      </w:r>
      <w:r w:rsidRPr="0015700B">
        <w:rPr>
          <w:rFonts w:asciiTheme="majorHAnsi" w:hAnsiTheme="majorHAnsi"/>
          <w:bCs/>
          <w:i/>
        </w:rPr>
        <w:t>20 п.</w:t>
      </w:r>
      <w:r w:rsidRPr="0015700B">
        <w:rPr>
          <w:rFonts w:asciiTheme="majorHAnsi" w:hAnsiTheme="majorHAnsi"/>
          <w:i/>
        </w:rPr>
        <w:t xml:space="preserve"> </w:t>
      </w:r>
      <w:r w:rsidRPr="0015700B">
        <w:rPr>
          <w:rFonts w:asciiTheme="majorHAnsi" w:hAnsiTheme="majorHAnsi"/>
          <w:bCs/>
          <w:i/>
        </w:rPr>
        <w:t>2 ст.</w:t>
      </w:r>
      <w:r w:rsidRPr="0015700B">
        <w:rPr>
          <w:rFonts w:asciiTheme="majorHAnsi" w:hAnsiTheme="majorHAnsi"/>
          <w:i/>
        </w:rPr>
        <w:t xml:space="preserve"> </w:t>
      </w:r>
      <w:r w:rsidRPr="0015700B">
        <w:rPr>
          <w:rFonts w:asciiTheme="majorHAnsi" w:hAnsiTheme="majorHAnsi"/>
          <w:bCs/>
          <w:i/>
        </w:rPr>
        <w:t>149 НК РФ</w:t>
      </w:r>
      <w:r w:rsidRPr="0015700B">
        <w:rPr>
          <w:rFonts w:asciiTheme="majorHAnsi" w:hAnsiTheme="majorHAnsi"/>
          <w:b/>
          <w:bCs/>
        </w:rPr>
        <w:t>)</w:t>
      </w:r>
      <w:r w:rsidRPr="0015700B">
        <w:rPr>
          <w:rFonts w:asciiTheme="majorHAnsi" w:hAnsiTheme="majorHAnsi"/>
        </w:rPr>
        <w:t>.</w:t>
      </w:r>
    </w:p>
    <w:p w:rsidR="00396313" w:rsidRPr="0015700B" w:rsidRDefault="00396313" w:rsidP="00396313">
      <w:pPr>
        <w:rPr>
          <w:rFonts w:asciiTheme="majorHAnsi" w:hAnsiTheme="majorHAnsi"/>
          <w:b/>
          <w:bCs/>
        </w:rPr>
      </w:pPr>
      <w:bookmarkStart w:id="11" w:name="_ref_1-0fb3251fc87d48"/>
      <w:r w:rsidRPr="0015700B">
        <w:rPr>
          <w:rFonts w:asciiTheme="majorHAnsi" w:hAnsiTheme="majorHAnsi"/>
          <w:b/>
          <w:bCs/>
        </w:rPr>
        <w:t>Налог на прибыль организаций</w:t>
      </w:r>
      <w:bookmarkEnd w:id="11"/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12" w:name="_ref_1-d7e61c3c2e1542"/>
      <w:r w:rsidRPr="0015700B">
        <w:rPr>
          <w:rFonts w:asciiTheme="majorHAnsi" w:hAnsiTheme="majorHAnsi"/>
          <w:bCs/>
        </w:rPr>
        <w:t>Общие положения</w:t>
      </w:r>
      <w:bookmarkEnd w:id="12"/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13" w:name="_ref_1-4395707b8ce54b"/>
      <w:r w:rsidRPr="0015700B">
        <w:rPr>
          <w:rFonts w:asciiTheme="majorHAnsi" w:hAnsiTheme="majorHAnsi"/>
          <w:bCs/>
        </w:rPr>
        <w:t>Налоговый учет ведется на основании первичных документов, данные из которых группируются в регистрах бухгалтерского учета.</w:t>
      </w:r>
      <w:bookmarkEnd w:id="13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7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ст. 313</w:t>
        </w:r>
      </w:hyperlink>
      <w:r w:rsidRPr="0015700B">
        <w:rPr>
          <w:rFonts w:asciiTheme="majorHAnsi" w:hAnsiTheme="majorHAnsi"/>
          <w:b/>
          <w:i/>
        </w:rPr>
        <w:t xml:space="preserve"> НК РФ, </w:t>
      </w:r>
      <w:hyperlink r:id="rId8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Приказ</w:t>
        </w:r>
      </w:hyperlink>
      <w:r w:rsidRPr="0015700B">
        <w:rPr>
          <w:rFonts w:asciiTheme="majorHAnsi" w:hAnsiTheme="majorHAnsi"/>
          <w:b/>
          <w:i/>
        </w:rPr>
        <w:t xml:space="preserve"> Минфина России № 52н)</w:t>
      </w:r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r w:rsidRPr="0015700B">
        <w:rPr>
          <w:rFonts w:asciiTheme="majorHAnsi" w:hAnsiTheme="majorHAnsi"/>
          <w:bCs/>
        </w:rPr>
        <w:t xml:space="preserve">Раздельный учет доходов и расходов в случаях, предусмотренных </w:t>
      </w:r>
      <w:hyperlink r:id="rId9" w:history="1">
        <w:r w:rsidRPr="0015700B">
          <w:rPr>
            <w:rStyle w:val="a3"/>
            <w:rFonts w:asciiTheme="majorHAnsi" w:hAnsiTheme="majorHAnsi"/>
            <w:bCs/>
          </w:rPr>
          <w:t>главой 25</w:t>
        </w:r>
      </w:hyperlink>
      <w:bookmarkStart w:id="14" w:name="_ref_1-ae3efab026244e"/>
      <w:r w:rsidRPr="0015700B">
        <w:rPr>
          <w:rFonts w:asciiTheme="majorHAnsi" w:hAnsiTheme="majorHAnsi"/>
          <w:bCs/>
        </w:rPr>
        <w:t xml:space="preserve"> НК РФ, ведется путем обособления соответствующих доходов и расходов в регистрах бухгалтерского учета.</w:t>
      </w:r>
      <w:bookmarkEnd w:id="14"/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15" w:name="_ref_1-1920b28b108849"/>
      <w:r w:rsidRPr="0015700B">
        <w:rPr>
          <w:rFonts w:asciiTheme="majorHAnsi" w:hAnsiTheme="majorHAnsi"/>
          <w:bCs/>
        </w:rPr>
        <w:t>Отчетными периодами по налогу на прибыль признаются первый квартал, полугодие и девять месяцев календарного года. По итогам отчетного периода уплачиваются квартальные авансовые платежи.</w:t>
      </w:r>
      <w:bookmarkEnd w:id="15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10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2 ст. 285</w:t>
        </w:r>
      </w:hyperlink>
      <w:r w:rsidRPr="0015700B">
        <w:rPr>
          <w:rFonts w:asciiTheme="majorHAnsi" w:hAnsiTheme="majorHAnsi"/>
          <w:b/>
          <w:i/>
        </w:rPr>
        <w:t xml:space="preserve">, </w:t>
      </w:r>
      <w:hyperlink r:id="rId11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3 ст. 286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16" w:name="_ref_1-7e24bfb883174b"/>
      <w:r w:rsidRPr="0015700B">
        <w:rPr>
          <w:rFonts w:asciiTheme="majorHAnsi" w:hAnsiTheme="majorHAnsi"/>
          <w:bCs/>
        </w:rPr>
        <w:t>Учет доходов и расходов</w:t>
      </w:r>
      <w:bookmarkEnd w:id="16"/>
    </w:p>
    <w:p w:rsidR="00396313" w:rsidRPr="0015700B" w:rsidRDefault="00396313" w:rsidP="00396313">
      <w:pPr>
        <w:rPr>
          <w:rFonts w:asciiTheme="majorHAnsi" w:hAnsiTheme="majorHAnsi"/>
          <w:b/>
          <w:bCs/>
        </w:rPr>
      </w:pPr>
      <w:bookmarkStart w:id="17" w:name="_ref_1-8498be577ddc44"/>
      <w:r w:rsidRPr="0015700B">
        <w:rPr>
          <w:rFonts w:asciiTheme="majorHAnsi" w:hAnsiTheme="majorHAnsi"/>
          <w:b/>
          <w:bCs/>
        </w:rPr>
        <w:t>Доходы и расходы признаются по методу начисления.</w:t>
      </w:r>
      <w:bookmarkEnd w:id="17"/>
    </w:p>
    <w:p w:rsidR="00396313" w:rsidRPr="0015700B" w:rsidRDefault="00396313" w:rsidP="002A42EE">
      <w:pPr>
        <w:jc w:val="both"/>
        <w:rPr>
          <w:rFonts w:asciiTheme="majorHAnsi" w:hAnsiTheme="majorHAnsi"/>
        </w:rPr>
      </w:pPr>
      <w:r w:rsidRPr="0015700B">
        <w:rPr>
          <w:rFonts w:asciiTheme="majorHAnsi" w:hAnsiTheme="majorHAnsi"/>
        </w:rPr>
        <w:lastRenderedPageBreak/>
        <w:t>При установленном методе начисления доходы признаются в том отчетном (налоговом) периоде, в котором они возникли, независимо от фактического поступления денежных средств, имущества или имущественных прав. Доход от реализации работ (услуг) с длительным (более одного налогового периода) технологическим циклом в случае, если условиями заключенных договоров не предусмотрена поэтапная сдача работ (услуг), признается равномерно, путем деления ожидаемой суммы дохода по договору на количество отчетных периодов, в течение которых исполняется договор.</w:t>
      </w:r>
    </w:p>
    <w:p w:rsidR="00396313" w:rsidRPr="0015700B" w:rsidRDefault="00396313" w:rsidP="002A42EE">
      <w:pPr>
        <w:jc w:val="both"/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12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п. 1</w:t>
        </w:r>
      </w:hyperlink>
      <w:hyperlink r:id="rId13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, 2 ст. 271</w:t>
        </w:r>
      </w:hyperlink>
      <w:r w:rsidRPr="0015700B">
        <w:rPr>
          <w:rFonts w:asciiTheme="majorHAnsi" w:hAnsiTheme="majorHAnsi"/>
          <w:b/>
          <w:i/>
        </w:rPr>
        <w:t>,  </w:t>
      </w:r>
      <w:hyperlink r:id="rId14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ч. 8 ст. 316</w:t>
        </w:r>
      </w:hyperlink>
      <w:r w:rsidRPr="0015700B">
        <w:rPr>
          <w:rFonts w:asciiTheme="majorHAnsi" w:hAnsiTheme="majorHAnsi"/>
          <w:b/>
          <w:i/>
        </w:rPr>
        <w:t xml:space="preserve"> НК РФ, </w:t>
      </w:r>
      <w:hyperlink r:id="rId15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Письмо</w:t>
        </w:r>
      </w:hyperlink>
      <w:r w:rsidRPr="0015700B">
        <w:rPr>
          <w:rFonts w:asciiTheme="majorHAnsi" w:hAnsiTheme="majorHAnsi"/>
          <w:b/>
          <w:i/>
        </w:rPr>
        <w:t xml:space="preserve"> Минфина России от 08.10.2021 № 03-03-06/1/81687)</w:t>
      </w:r>
    </w:p>
    <w:p w:rsidR="00396313" w:rsidRPr="0015700B" w:rsidRDefault="00396313" w:rsidP="002A42EE">
      <w:pPr>
        <w:jc w:val="both"/>
        <w:rPr>
          <w:rFonts w:asciiTheme="majorHAnsi" w:hAnsiTheme="majorHAnsi"/>
        </w:rPr>
      </w:pPr>
      <w:r w:rsidRPr="0015700B">
        <w:rPr>
          <w:rFonts w:asciiTheme="majorHAnsi" w:hAnsiTheme="majorHAnsi"/>
        </w:rPr>
        <w:t>Расходы признаются в том отчетном (налоговом) периоде, к которому они относятся, независимо от времени фактической выплаты денежных средств и (или) иной формы их оплаты.</w:t>
      </w:r>
    </w:p>
    <w:p w:rsidR="00396313" w:rsidRPr="0015700B" w:rsidRDefault="00396313" w:rsidP="00396313">
      <w:pPr>
        <w:rPr>
          <w:rFonts w:asciiTheme="majorHAnsi" w:hAnsiTheme="majorHAnsi"/>
        </w:rPr>
      </w:pPr>
      <w:r w:rsidRPr="0015700B">
        <w:rPr>
          <w:rFonts w:asciiTheme="majorHAnsi" w:hAnsiTheme="majorHAnsi"/>
          <w:i/>
        </w:rPr>
        <w:t xml:space="preserve">(Основание: ст. </w:t>
      </w:r>
      <w:hyperlink r:id="rId16" w:history="1">
        <w:r w:rsidRPr="0015700B">
          <w:rPr>
            <w:rStyle w:val="a3"/>
            <w:rFonts w:asciiTheme="majorHAnsi" w:hAnsiTheme="majorHAnsi"/>
            <w:i/>
          </w:rPr>
          <w:t>272</w:t>
        </w:r>
      </w:hyperlink>
      <w:r w:rsidRPr="0015700B">
        <w:rPr>
          <w:rFonts w:asciiTheme="majorHAnsi" w:hAnsiTheme="majorHAnsi"/>
          <w:i/>
        </w:rPr>
        <w:t xml:space="preserve"> НК РФ</w:t>
      </w:r>
      <w:r w:rsidRPr="0015700B">
        <w:rPr>
          <w:rFonts w:asciiTheme="majorHAnsi" w:hAnsiTheme="majorHAnsi"/>
        </w:rPr>
        <w:t>)</w:t>
      </w:r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r w:rsidRPr="0015700B">
        <w:rPr>
          <w:rFonts w:asciiTheme="majorHAnsi" w:hAnsiTheme="majorHAnsi"/>
          <w:bCs/>
        </w:rPr>
        <w:t>Доходы, полученные от сдачи имущества в аренду (субаренду), включаются в состав доходов от реализации и учитываются в порядке, установленном </w:t>
      </w:r>
      <w:hyperlink r:id="rId17" w:history="1">
        <w:r w:rsidRPr="0015700B">
          <w:rPr>
            <w:rStyle w:val="a3"/>
            <w:rFonts w:asciiTheme="majorHAnsi" w:hAnsiTheme="majorHAnsi"/>
            <w:bCs/>
          </w:rPr>
          <w:t>ст. 249</w:t>
        </w:r>
      </w:hyperlink>
      <w:bookmarkStart w:id="18" w:name="_ref_1-dc1e5c35f0ff4e"/>
      <w:r w:rsidRPr="0015700B">
        <w:rPr>
          <w:rFonts w:asciiTheme="majorHAnsi" w:hAnsiTheme="majorHAnsi"/>
          <w:bCs/>
        </w:rPr>
        <w:t xml:space="preserve"> НК РФ.</w:t>
      </w:r>
      <w:bookmarkEnd w:id="18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18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4 ст. 250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19" w:name="_ref_1-934e9ff8568641"/>
      <w:r w:rsidRPr="0015700B">
        <w:rPr>
          <w:rFonts w:asciiTheme="majorHAnsi" w:hAnsiTheme="majorHAnsi"/>
          <w:bCs/>
        </w:rPr>
        <w:t>Учет прямых и косвенных расходов</w:t>
      </w:r>
      <w:bookmarkEnd w:id="19"/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20" w:name="_ref_1-867eaed544014e"/>
      <w:r w:rsidRPr="0015700B">
        <w:rPr>
          <w:rFonts w:asciiTheme="majorHAnsi" w:hAnsiTheme="majorHAnsi"/>
          <w:bCs/>
        </w:rPr>
        <w:t>В перечень прямых расходов, связанных с производством товаров (работ, услуг), включаются:</w:t>
      </w:r>
      <w:bookmarkEnd w:id="20"/>
    </w:p>
    <w:p w:rsidR="00396313" w:rsidRPr="0015700B" w:rsidRDefault="00396313" w:rsidP="002A42EE">
      <w:pPr>
        <w:numPr>
          <w:ilvl w:val="1"/>
          <w:numId w:val="3"/>
        </w:numPr>
        <w:jc w:val="both"/>
        <w:rPr>
          <w:rFonts w:asciiTheme="majorHAnsi" w:hAnsiTheme="majorHAnsi"/>
        </w:rPr>
      </w:pPr>
      <w:r w:rsidRPr="0015700B">
        <w:rPr>
          <w:rFonts w:asciiTheme="majorHAnsi" w:hAnsiTheme="majorHAnsi"/>
        </w:rPr>
        <w:t>затраты на приобретение сырья и (или) материалов, используемых в производстве товаров (выполнении работ, оказании услуг) и (или) образующих их основу либо являющихся необходимым компонентом при производстве товаров (выполнении работ, оказании услуг);</w:t>
      </w:r>
    </w:p>
    <w:p w:rsidR="00396313" w:rsidRPr="0015700B" w:rsidRDefault="00396313" w:rsidP="002A42EE">
      <w:pPr>
        <w:numPr>
          <w:ilvl w:val="1"/>
          <w:numId w:val="3"/>
        </w:numPr>
        <w:jc w:val="both"/>
        <w:rPr>
          <w:rFonts w:asciiTheme="majorHAnsi" w:hAnsiTheme="majorHAnsi"/>
        </w:rPr>
      </w:pPr>
      <w:r w:rsidRPr="0015700B">
        <w:rPr>
          <w:rFonts w:asciiTheme="majorHAnsi" w:hAnsiTheme="majorHAnsi"/>
        </w:rPr>
        <w:t>затраты на приобретение комплектующих изделий, подвергающихся монтажу, и (или) полуфабрикатов, подвергающихся дополнительной обработке;</w:t>
      </w:r>
    </w:p>
    <w:p w:rsidR="00396313" w:rsidRPr="0015700B" w:rsidRDefault="00396313" w:rsidP="002A42EE">
      <w:pPr>
        <w:numPr>
          <w:ilvl w:val="1"/>
          <w:numId w:val="3"/>
        </w:numPr>
        <w:jc w:val="both"/>
        <w:rPr>
          <w:rFonts w:asciiTheme="majorHAnsi" w:hAnsiTheme="majorHAnsi"/>
        </w:rPr>
      </w:pPr>
      <w:proofErr w:type="gramStart"/>
      <w:r w:rsidRPr="0015700B">
        <w:rPr>
          <w:rFonts w:asciiTheme="majorHAnsi" w:hAnsiTheme="majorHAnsi"/>
        </w:rPr>
        <w:t>расходы на оплату труда персонала, участвующего в процессе производства товаров, выполнения работ, оказания услуг, а также расходы на уплату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начисленных на такую оплату труда;</w:t>
      </w:r>
      <w:proofErr w:type="gramEnd"/>
    </w:p>
    <w:p w:rsidR="00396313" w:rsidRPr="0015700B" w:rsidRDefault="00396313" w:rsidP="002A42EE">
      <w:pPr>
        <w:numPr>
          <w:ilvl w:val="1"/>
          <w:numId w:val="3"/>
        </w:numPr>
        <w:jc w:val="both"/>
        <w:rPr>
          <w:rFonts w:asciiTheme="majorHAnsi" w:hAnsiTheme="majorHAnsi"/>
        </w:rPr>
      </w:pPr>
      <w:r w:rsidRPr="0015700B">
        <w:rPr>
          <w:rFonts w:asciiTheme="majorHAnsi" w:hAnsiTheme="majorHAnsi"/>
        </w:rPr>
        <w:t>суммы начисленной амортизации по основным средствам, используемым при производстве товаров, выполнении работ, оказании услуг.</w:t>
      </w:r>
    </w:p>
    <w:p w:rsidR="00396313" w:rsidRPr="0015700B" w:rsidRDefault="00396313" w:rsidP="00396313">
      <w:pPr>
        <w:rPr>
          <w:rFonts w:asciiTheme="majorHAnsi" w:hAnsiTheme="majorHAnsi"/>
          <w:b/>
        </w:rPr>
      </w:pPr>
      <w:proofErr w:type="gramStart"/>
      <w:r w:rsidRPr="0015700B">
        <w:rPr>
          <w:rFonts w:asciiTheme="majorHAnsi" w:hAnsiTheme="majorHAnsi"/>
          <w:b/>
          <w:i/>
        </w:rPr>
        <w:t>(Основание:</w:t>
      </w:r>
      <w:r w:rsidRPr="0015700B">
        <w:rPr>
          <w:rFonts w:asciiTheme="majorHAnsi" w:hAnsiTheme="majorHAnsi"/>
          <w:b/>
        </w:rPr>
        <w:t> </w:t>
      </w:r>
      <w:proofErr w:type="spellStart"/>
      <w:r w:rsidRPr="0015700B">
        <w:rPr>
          <w:rFonts w:asciiTheme="majorHAnsi" w:hAnsiTheme="majorHAnsi"/>
          <w:b/>
        </w:rPr>
        <w:fldChar w:fldCharType="begin"/>
      </w:r>
      <w:r w:rsidRPr="0015700B">
        <w:rPr>
          <w:rFonts w:asciiTheme="majorHAnsi" w:hAnsiTheme="majorHAnsi"/>
          <w:b/>
        </w:rPr>
        <w:instrText xml:space="preserve"> HYPERLINK "https://online.consultant.ru/riv/cgi/online.cgi?ref=9D8161AA42813FF2C5CEF20345109A18045E915A4D486592BF0D91A3DD55F1698951AD87C989255BD5F8EF9CC6009B654393C4422B6702763792395C742FD79786DE4C4BBB23d1R3M" </w:instrText>
      </w:r>
      <w:r w:rsidRPr="0015700B">
        <w:rPr>
          <w:rFonts w:asciiTheme="majorHAnsi" w:hAnsiTheme="majorHAnsi"/>
          <w:b/>
        </w:rPr>
        <w:fldChar w:fldCharType="separate"/>
      </w:r>
      <w:r w:rsidRPr="0015700B">
        <w:rPr>
          <w:rStyle w:val="a3"/>
          <w:rFonts w:asciiTheme="majorHAnsi" w:hAnsiTheme="majorHAnsi"/>
          <w:b/>
          <w:i/>
          <w:color w:val="auto"/>
        </w:rPr>
        <w:t>пп</w:t>
      </w:r>
      <w:proofErr w:type="spellEnd"/>
      <w:r w:rsidRPr="0015700B">
        <w:rPr>
          <w:rStyle w:val="a3"/>
          <w:rFonts w:asciiTheme="majorHAnsi" w:hAnsiTheme="majorHAnsi"/>
          <w:b/>
          <w:i/>
          <w:color w:val="auto"/>
        </w:rPr>
        <w:t>. 1 п. 1 ст. 254</w:t>
      </w:r>
      <w:r w:rsidRPr="0015700B">
        <w:rPr>
          <w:rFonts w:asciiTheme="majorHAnsi" w:hAnsiTheme="majorHAnsi"/>
          <w:b/>
        </w:rPr>
        <w:fldChar w:fldCharType="end"/>
      </w:r>
      <w:r w:rsidRPr="0015700B">
        <w:rPr>
          <w:rFonts w:asciiTheme="majorHAnsi" w:hAnsiTheme="majorHAnsi"/>
          <w:b/>
        </w:rPr>
        <w:t xml:space="preserve">, </w:t>
      </w:r>
      <w:hyperlink r:id="rId19" w:history="1">
        <w:proofErr w:type="spellStart"/>
        <w:r w:rsidRPr="0015700B">
          <w:rPr>
            <w:rStyle w:val="a3"/>
            <w:rFonts w:asciiTheme="majorHAnsi" w:hAnsiTheme="majorHAnsi"/>
            <w:b/>
            <w:i/>
            <w:color w:val="auto"/>
          </w:rPr>
          <w:t>пп</w:t>
        </w:r>
        <w:proofErr w:type="spellEnd"/>
        <w:r w:rsidRPr="0015700B">
          <w:rPr>
            <w:rStyle w:val="a3"/>
            <w:rFonts w:asciiTheme="majorHAnsi" w:hAnsiTheme="majorHAnsi"/>
            <w:b/>
            <w:i/>
            <w:color w:val="auto"/>
          </w:rPr>
          <w:t>. 4 п. 1 ст. 254</w:t>
        </w:r>
      </w:hyperlink>
      <w:r w:rsidRPr="0015700B">
        <w:rPr>
          <w:rFonts w:asciiTheme="majorHAnsi" w:hAnsiTheme="majorHAnsi"/>
          <w:b/>
        </w:rPr>
        <w:t xml:space="preserve">, </w:t>
      </w:r>
      <w:hyperlink r:id="rId20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ст. 255</w:t>
        </w:r>
      </w:hyperlink>
      <w:r w:rsidRPr="0015700B">
        <w:rPr>
          <w:rFonts w:asciiTheme="majorHAnsi" w:hAnsiTheme="majorHAnsi"/>
          <w:b/>
          <w:i/>
        </w:rPr>
        <w:t>,</w:t>
      </w:r>
      <w:r w:rsidRPr="0015700B">
        <w:rPr>
          <w:rFonts w:asciiTheme="majorHAnsi" w:hAnsiTheme="majorHAnsi"/>
          <w:b/>
        </w:rPr>
        <w:t xml:space="preserve"> </w:t>
      </w:r>
      <w:hyperlink r:id="rId21" w:history="1">
        <w:proofErr w:type="spellStart"/>
        <w:r w:rsidRPr="0015700B">
          <w:rPr>
            <w:rStyle w:val="a3"/>
            <w:rFonts w:asciiTheme="majorHAnsi" w:hAnsiTheme="majorHAnsi"/>
            <w:b/>
            <w:i/>
            <w:color w:val="auto"/>
          </w:rPr>
          <w:t>пп</w:t>
        </w:r>
        <w:proofErr w:type="spellEnd"/>
        <w:r w:rsidRPr="0015700B">
          <w:rPr>
            <w:rStyle w:val="a3"/>
            <w:rFonts w:asciiTheme="majorHAnsi" w:hAnsiTheme="majorHAnsi"/>
            <w:b/>
            <w:i/>
            <w:color w:val="auto"/>
          </w:rPr>
          <w:t>. 1,</w:t>
        </w:r>
      </w:hyperlink>
      <w:r w:rsidRPr="0015700B">
        <w:rPr>
          <w:rFonts w:asciiTheme="majorHAnsi" w:hAnsiTheme="majorHAnsi"/>
          <w:b/>
          <w:i/>
        </w:rPr>
        <w:t xml:space="preserve"> </w:t>
      </w:r>
      <w:hyperlink r:id="rId22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45 п. 1 ст. 264</w:t>
        </w:r>
      </w:hyperlink>
      <w:r w:rsidRPr="0015700B">
        <w:rPr>
          <w:rFonts w:asciiTheme="majorHAnsi" w:hAnsiTheme="majorHAnsi"/>
          <w:b/>
        </w:rPr>
        <w:t xml:space="preserve">, </w:t>
      </w:r>
      <w:hyperlink r:id="rId23" w:history="1">
        <w:proofErr w:type="spellStart"/>
        <w:r w:rsidRPr="0015700B">
          <w:rPr>
            <w:rStyle w:val="a3"/>
            <w:rFonts w:asciiTheme="majorHAnsi" w:hAnsiTheme="majorHAnsi"/>
            <w:b/>
            <w:i/>
            <w:color w:val="auto"/>
          </w:rPr>
          <w:t>пп</w:t>
        </w:r>
        <w:proofErr w:type="spellEnd"/>
        <w:r w:rsidRPr="0015700B">
          <w:rPr>
            <w:rStyle w:val="a3"/>
            <w:rFonts w:asciiTheme="majorHAnsi" w:hAnsiTheme="majorHAnsi"/>
            <w:b/>
            <w:i/>
            <w:color w:val="auto"/>
          </w:rPr>
          <w:t>. 3 п. 2 ст. 253</w:t>
        </w:r>
      </w:hyperlink>
      <w:r w:rsidRPr="0015700B">
        <w:rPr>
          <w:rFonts w:asciiTheme="majorHAnsi" w:hAnsiTheme="majorHAnsi"/>
          <w:b/>
          <w:i/>
        </w:rPr>
        <w:t xml:space="preserve">, </w:t>
      </w:r>
      <w:hyperlink r:id="rId24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ст. 259</w:t>
        </w:r>
      </w:hyperlink>
      <w:r w:rsidRPr="0015700B">
        <w:rPr>
          <w:rFonts w:asciiTheme="majorHAnsi" w:hAnsiTheme="majorHAnsi"/>
          <w:b/>
        </w:rPr>
        <w:t>,</w:t>
      </w:r>
      <w:proofErr w:type="gramEnd"/>
      <w:r w:rsidRPr="0015700B">
        <w:rPr>
          <w:rFonts w:asciiTheme="majorHAnsi" w:hAnsiTheme="majorHAnsi"/>
          <w:b/>
          <w:i/>
        </w:rPr>
        <w:t xml:space="preserve"> </w:t>
      </w:r>
      <w:hyperlink r:id="rId25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1 ст. 318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21" w:name="_ref_1-df22660b964941"/>
      <w:r w:rsidRPr="0015700B">
        <w:rPr>
          <w:rFonts w:asciiTheme="majorHAnsi" w:hAnsiTheme="majorHAnsi"/>
          <w:bCs/>
        </w:rPr>
        <w:t>Расходы, понесенные при оказании услуг, в полном объеме признаются в текущем отчетном (налоговом) периоде без распределения прямых расходов на остатки незавершенного производства.</w:t>
      </w:r>
      <w:bookmarkEnd w:id="21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>(Основание:</w:t>
      </w:r>
      <w:r w:rsidRPr="0015700B">
        <w:rPr>
          <w:rFonts w:asciiTheme="majorHAnsi" w:hAnsiTheme="majorHAnsi"/>
          <w:b/>
        </w:rPr>
        <w:t xml:space="preserve"> </w:t>
      </w:r>
      <w:hyperlink r:id="rId26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2 ст. 318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22" w:name="_ref_1-3205dc9515e740"/>
      <w:r w:rsidRPr="0015700B">
        <w:rPr>
          <w:rFonts w:asciiTheme="majorHAnsi" w:hAnsiTheme="majorHAnsi"/>
          <w:bCs/>
        </w:rPr>
        <w:lastRenderedPageBreak/>
        <w:t>Для определения размера материальных расходов при списании материалов применяется метод оценки по средней стоимости.</w:t>
      </w:r>
      <w:bookmarkEnd w:id="22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27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8 ст. 254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r w:rsidRPr="0015700B">
        <w:rPr>
          <w:rFonts w:asciiTheme="majorHAnsi" w:hAnsiTheme="majorHAnsi"/>
          <w:bCs/>
        </w:rPr>
        <w:t xml:space="preserve">Стоимость имущества, перечисленного в </w:t>
      </w:r>
      <w:hyperlink r:id="rId28" w:history="1">
        <w:proofErr w:type="spellStart"/>
        <w:r w:rsidRPr="0015700B">
          <w:rPr>
            <w:rStyle w:val="a3"/>
            <w:rFonts w:asciiTheme="majorHAnsi" w:hAnsiTheme="majorHAnsi"/>
            <w:bCs/>
            <w:color w:val="auto"/>
          </w:rPr>
          <w:t>пп</w:t>
        </w:r>
        <w:proofErr w:type="spellEnd"/>
        <w:r w:rsidRPr="0015700B">
          <w:rPr>
            <w:rStyle w:val="a3"/>
            <w:rFonts w:asciiTheme="majorHAnsi" w:hAnsiTheme="majorHAnsi"/>
            <w:bCs/>
            <w:color w:val="auto"/>
          </w:rPr>
          <w:t>. 3 п. 1 ст. 254</w:t>
        </w:r>
      </w:hyperlink>
      <w:bookmarkStart w:id="23" w:name="_ref_1-a5ee038c84a542"/>
      <w:r w:rsidRPr="0015700B">
        <w:rPr>
          <w:rFonts w:asciiTheme="majorHAnsi" w:hAnsiTheme="majorHAnsi"/>
          <w:bCs/>
        </w:rPr>
        <w:t xml:space="preserve"> НК РФ (не являющегося амортизируемым), включается в состав материальных расходов в полной сумме по мере ввода такого имущества в эксплуатацию.</w:t>
      </w:r>
      <w:bookmarkEnd w:id="23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29" w:history="1">
        <w:proofErr w:type="spellStart"/>
        <w:r w:rsidRPr="0015700B">
          <w:rPr>
            <w:rStyle w:val="a3"/>
            <w:rFonts w:asciiTheme="majorHAnsi" w:hAnsiTheme="majorHAnsi"/>
            <w:b/>
            <w:i/>
            <w:color w:val="auto"/>
          </w:rPr>
          <w:t>пп</w:t>
        </w:r>
        <w:proofErr w:type="spellEnd"/>
        <w:r w:rsidRPr="0015700B">
          <w:rPr>
            <w:rStyle w:val="a3"/>
            <w:rFonts w:asciiTheme="majorHAnsi" w:hAnsiTheme="majorHAnsi"/>
            <w:b/>
            <w:i/>
            <w:color w:val="auto"/>
          </w:rPr>
          <w:t>. 3 п. 1 ст. 254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24" w:name="_ref_1-647755865b1f43"/>
      <w:r w:rsidRPr="0015700B">
        <w:rPr>
          <w:rFonts w:asciiTheme="majorHAnsi" w:hAnsiTheme="majorHAnsi"/>
          <w:bCs/>
        </w:rPr>
        <w:t>Учет амортизируемого имущества</w:t>
      </w:r>
      <w:bookmarkEnd w:id="24"/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25" w:name="_ref_1-8713d6a11cf74b"/>
      <w:r w:rsidRPr="0015700B">
        <w:rPr>
          <w:rFonts w:asciiTheme="majorHAnsi" w:hAnsiTheme="majorHAnsi"/>
          <w:bCs/>
        </w:rPr>
        <w:t>Срок полезного использования объекта основных средств, установленный при его приобретении, пересматривается при проведении работ по реконструкции, модернизации, техническому перевооружению. Если в результате таких работ имело  место улучшение (повышение) первоначально принятых нормативных показателей функционирования объекта основных средств, то срок полезного использования объекта увеличивается. При этом увеличение может быть осуществлено в пределах сроков, установленных для той амортизационной группы, в которую ранее было включено такое основное средство.</w:t>
      </w:r>
      <w:bookmarkEnd w:id="25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30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1 ст. 258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26" w:name="_ref_1-e7df254643f643"/>
      <w:r w:rsidRPr="0015700B">
        <w:rPr>
          <w:rFonts w:asciiTheme="majorHAnsi" w:hAnsiTheme="majorHAnsi"/>
          <w:bCs/>
        </w:rPr>
        <w:t>По приобретаемым основным средствам, бывшим в употреблении, норма амортизации в целях применения линейного метода определяется с учетом срока полезного использования, уменьшенного на число месяцев эксплуатации данного имущества у предыдущих собственников.</w:t>
      </w:r>
      <w:bookmarkEnd w:id="26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31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7 ст. 258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27" w:name="_ref_1-e5c7bd4244b943"/>
      <w:r w:rsidRPr="0015700B">
        <w:rPr>
          <w:rFonts w:asciiTheme="majorHAnsi" w:hAnsiTheme="majorHAnsi"/>
          <w:bCs/>
        </w:rPr>
        <w:t>Начисление амортизации</w:t>
      </w:r>
      <w:bookmarkEnd w:id="27"/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28" w:name="_ref_1-12b63b0f955f4f"/>
      <w:r w:rsidRPr="0015700B">
        <w:rPr>
          <w:rFonts w:asciiTheme="majorHAnsi" w:hAnsiTheme="majorHAnsi"/>
          <w:bCs/>
        </w:rPr>
        <w:t>По всем объектам амортизируемого имущества применяется линейный метод начисления амортизации.</w:t>
      </w:r>
      <w:bookmarkEnd w:id="28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32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1 ст. 259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29" w:name="_ref_1-b3292feb4bca48"/>
      <w:r w:rsidRPr="0015700B">
        <w:rPr>
          <w:rFonts w:asciiTheme="majorHAnsi" w:hAnsiTheme="majorHAnsi"/>
          <w:bCs/>
        </w:rPr>
        <w:t>Амортизационная премия не применяется.</w:t>
      </w:r>
      <w:bookmarkEnd w:id="29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33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9 ст. 258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30" w:name="_ref_1-dbc1dd1c686445"/>
      <w:r w:rsidRPr="0015700B">
        <w:rPr>
          <w:rFonts w:asciiTheme="majorHAnsi" w:hAnsiTheme="majorHAnsi"/>
          <w:bCs/>
        </w:rPr>
        <w:t>Амортизация по объектам основных средств начисляется без применения специальных повышающих коэффициентов.</w:t>
      </w:r>
      <w:bookmarkEnd w:id="30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34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п. 1</w:t>
        </w:r>
      </w:hyperlink>
      <w:r w:rsidRPr="0015700B">
        <w:rPr>
          <w:rFonts w:asciiTheme="majorHAnsi" w:hAnsiTheme="majorHAnsi"/>
          <w:b/>
          <w:i/>
        </w:rPr>
        <w:t xml:space="preserve"> - </w:t>
      </w:r>
      <w:hyperlink r:id="rId35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3 ст. 259.3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31" w:name="_ref_1-19976401a6014a"/>
      <w:r w:rsidRPr="0015700B">
        <w:rPr>
          <w:rFonts w:asciiTheme="majorHAnsi" w:hAnsiTheme="majorHAnsi"/>
          <w:bCs/>
        </w:rPr>
        <w:t>Амортизация по всем объектам амортизируемого имущества начисляется без применения понижающих коэффициентов.</w:t>
      </w:r>
      <w:bookmarkEnd w:id="31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36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4 ст. 259.3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32" w:name="_ref_1-261fc1751b2d45"/>
      <w:r w:rsidRPr="0015700B">
        <w:rPr>
          <w:rFonts w:asciiTheme="majorHAnsi" w:hAnsiTheme="majorHAnsi"/>
          <w:bCs/>
        </w:rPr>
        <w:t>Формирование резервов</w:t>
      </w:r>
      <w:bookmarkEnd w:id="32"/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33" w:name="_ref_1-3541f1943a8d4b"/>
      <w:r w:rsidRPr="0015700B">
        <w:rPr>
          <w:rFonts w:asciiTheme="majorHAnsi" w:hAnsiTheme="majorHAnsi"/>
          <w:bCs/>
        </w:rPr>
        <w:lastRenderedPageBreak/>
        <w:t>Резерв на предстоящий ремонт основных средств не создается. Расходы на ремонт включаются в состав прочих расходов в размере фактических затрат в том отчетном (налоговом) периоде, в котором они были осуществлены.</w:t>
      </w:r>
      <w:bookmarkEnd w:id="33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37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п. 1</w:t>
        </w:r>
      </w:hyperlink>
      <w:r w:rsidRPr="0015700B">
        <w:rPr>
          <w:rFonts w:asciiTheme="majorHAnsi" w:hAnsiTheme="majorHAnsi"/>
          <w:b/>
          <w:i/>
        </w:rPr>
        <w:t xml:space="preserve">, </w:t>
      </w:r>
      <w:hyperlink r:id="rId38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3 ст. 260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34" w:name="_ref_1-ad7f027ab33644"/>
      <w:r w:rsidRPr="0015700B">
        <w:rPr>
          <w:rFonts w:asciiTheme="majorHAnsi" w:hAnsiTheme="majorHAnsi"/>
          <w:bCs/>
        </w:rPr>
        <w:t>Резерв по сомнительным долгам не формируется.</w:t>
      </w:r>
      <w:bookmarkEnd w:id="34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39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ст. 266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35" w:name="_ref_1-b01d28596e474b"/>
      <w:r w:rsidRPr="0015700B">
        <w:rPr>
          <w:rFonts w:asciiTheme="majorHAnsi" w:hAnsiTheme="majorHAnsi"/>
          <w:bCs/>
        </w:rPr>
        <w:t>Резерв на гарантийный ремонт и гарантийное обслуживание не формируется.</w:t>
      </w:r>
      <w:bookmarkEnd w:id="35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40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ст. 267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 (Основание: </w:t>
      </w:r>
      <w:hyperlink r:id="rId41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1 ст. 324.1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36" w:name="_ref_1-4cc1605599f64e"/>
      <w:r w:rsidRPr="0015700B">
        <w:rPr>
          <w:rFonts w:asciiTheme="majorHAnsi" w:hAnsiTheme="majorHAnsi"/>
          <w:bCs/>
        </w:rPr>
        <w:t>Резерв на выплату вознаграждений за выслугу лет не формируется.</w:t>
      </w:r>
      <w:bookmarkEnd w:id="36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42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п. 1</w:t>
        </w:r>
      </w:hyperlink>
      <w:r w:rsidRPr="0015700B">
        <w:rPr>
          <w:rFonts w:asciiTheme="majorHAnsi" w:hAnsiTheme="majorHAnsi"/>
          <w:b/>
          <w:i/>
        </w:rPr>
        <w:t xml:space="preserve">, </w:t>
      </w:r>
      <w:hyperlink r:id="rId43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6 ст. 324.1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37" w:name="_ref_1-a2e15ee3b0654c"/>
      <w:r w:rsidRPr="0015700B">
        <w:rPr>
          <w:rFonts w:asciiTheme="majorHAnsi" w:hAnsiTheme="majorHAnsi"/>
          <w:bCs/>
        </w:rPr>
        <w:t>Резерв на выплату вознаграждений по итогам работы за год не формируется.</w:t>
      </w:r>
      <w:bookmarkEnd w:id="37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>(Основание:</w:t>
      </w:r>
      <w:r w:rsidRPr="0015700B">
        <w:rPr>
          <w:rFonts w:asciiTheme="majorHAnsi" w:hAnsiTheme="majorHAnsi"/>
          <w:b/>
        </w:rPr>
        <w:t xml:space="preserve"> </w:t>
      </w:r>
      <w:hyperlink r:id="rId44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п. 1</w:t>
        </w:r>
      </w:hyperlink>
      <w:r w:rsidRPr="0015700B">
        <w:rPr>
          <w:rFonts w:asciiTheme="majorHAnsi" w:hAnsiTheme="majorHAnsi"/>
          <w:b/>
          <w:i/>
        </w:rPr>
        <w:t xml:space="preserve">, </w:t>
      </w:r>
      <w:hyperlink r:id="rId45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6 ст. 324.1</w:t>
        </w:r>
      </w:hyperlink>
      <w:r w:rsidRPr="0015700B">
        <w:rPr>
          <w:rFonts w:asciiTheme="majorHAnsi" w:hAnsiTheme="majorHAnsi"/>
          <w:b/>
          <w:i/>
        </w:rPr>
        <w:t> НК РФ)</w:t>
      </w:r>
    </w:p>
    <w:p w:rsidR="00396313" w:rsidRPr="0015700B" w:rsidRDefault="00396313" w:rsidP="00396313">
      <w:pPr>
        <w:rPr>
          <w:rFonts w:asciiTheme="majorHAnsi" w:hAnsiTheme="majorHAnsi"/>
          <w:bCs/>
        </w:rPr>
      </w:pPr>
      <w:bookmarkStart w:id="38" w:name="_ref_1-c315519519fb46"/>
      <w:r w:rsidRPr="0015700B">
        <w:rPr>
          <w:rFonts w:asciiTheme="majorHAnsi" w:hAnsiTheme="majorHAnsi"/>
          <w:bCs/>
        </w:rPr>
        <w:t>Резерв на предстоящие расходы не формируется.</w:t>
      </w:r>
      <w:bookmarkEnd w:id="38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46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ст. 267.2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/>
          <w:bCs/>
        </w:rPr>
      </w:pPr>
      <w:bookmarkStart w:id="39" w:name="_ref_1-95d13c74ba6447"/>
      <w:r w:rsidRPr="0015700B">
        <w:rPr>
          <w:rFonts w:asciiTheme="majorHAnsi" w:hAnsiTheme="majorHAnsi"/>
          <w:b/>
          <w:bCs/>
        </w:rPr>
        <w:t>Налог на доходы физических лиц</w:t>
      </w:r>
      <w:bookmarkEnd w:id="39"/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40" w:name="_ref_1-eac0cf1b066149"/>
      <w:r w:rsidRPr="0015700B">
        <w:rPr>
          <w:rFonts w:asciiTheme="majorHAnsi" w:hAnsiTheme="majorHAnsi"/>
          <w:bCs/>
        </w:rPr>
        <w:t xml:space="preserve">Учет доходов, выплаченных физическим лицам, в отношении которых выполняются обязанности налогового агента, предоставленных налоговых вычетов, а также сумм исчисленного и удержанного с них НДФЛ ведется в налоговом регистре, форма которого приведена в </w:t>
      </w:r>
      <w:r w:rsidRPr="0015700B">
        <w:rPr>
          <w:rFonts w:asciiTheme="majorHAnsi" w:hAnsiTheme="majorHAnsi"/>
          <w:b/>
          <w:bCs/>
        </w:rPr>
        <w:t>Приложении № 1</w:t>
      </w:r>
      <w:r w:rsidRPr="0015700B">
        <w:rPr>
          <w:rFonts w:asciiTheme="majorHAnsi" w:hAnsiTheme="majorHAnsi"/>
          <w:bCs/>
        </w:rPr>
        <w:t xml:space="preserve">  к Учетной политике.</w:t>
      </w:r>
      <w:bookmarkEnd w:id="40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47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1 ст. 230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396313">
      <w:pPr>
        <w:rPr>
          <w:rFonts w:asciiTheme="majorHAnsi" w:hAnsiTheme="majorHAnsi"/>
          <w:b/>
          <w:i/>
          <w:iCs/>
        </w:rPr>
      </w:pPr>
      <w:r w:rsidRPr="0015700B">
        <w:rPr>
          <w:rFonts w:asciiTheme="majorHAnsi" w:hAnsiTheme="majorHAnsi"/>
          <w:b/>
          <w:i/>
          <w:iCs/>
        </w:rPr>
        <w:t>.</w:t>
      </w:r>
    </w:p>
    <w:p w:rsidR="00396313" w:rsidRPr="0015700B" w:rsidRDefault="00396313" w:rsidP="00396313">
      <w:pPr>
        <w:rPr>
          <w:rFonts w:asciiTheme="majorHAnsi" w:hAnsiTheme="majorHAnsi"/>
          <w:b/>
          <w:bCs/>
        </w:rPr>
      </w:pPr>
      <w:bookmarkStart w:id="41" w:name="_ref_1-c13b71a66ed045"/>
      <w:r w:rsidRPr="0015700B">
        <w:rPr>
          <w:rFonts w:asciiTheme="majorHAnsi" w:hAnsiTheme="majorHAnsi"/>
          <w:b/>
          <w:bCs/>
        </w:rPr>
        <w:t>Страховые взносы</w:t>
      </w:r>
      <w:bookmarkEnd w:id="41"/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42" w:name="_ref_1-811d693062ab42"/>
      <w:proofErr w:type="gramStart"/>
      <w:r w:rsidRPr="0015700B">
        <w:rPr>
          <w:rFonts w:asciiTheme="majorHAnsi" w:hAnsiTheme="majorHAnsi"/>
          <w:bCs/>
        </w:rPr>
        <w:t>Учет сумм начисленных выплат и иных вознаграждений, а также относящихся к ним сумм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по каждому физическому лицу, в пользу которого осуществлялись выплаты и в отношении которого организация выступает плательщиком, ведется в регистрах учета, форма которых приведена в</w:t>
      </w:r>
      <w:proofErr w:type="gramEnd"/>
      <w:r w:rsidRPr="0015700B">
        <w:rPr>
          <w:rFonts w:asciiTheme="majorHAnsi" w:hAnsiTheme="majorHAnsi"/>
          <w:bCs/>
        </w:rPr>
        <w:t xml:space="preserve"> </w:t>
      </w:r>
      <w:proofErr w:type="gramStart"/>
      <w:r w:rsidRPr="0015700B">
        <w:rPr>
          <w:rFonts w:asciiTheme="majorHAnsi" w:hAnsiTheme="majorHAnsi"/>
          <w:b/>
          <w:bCs/>
        </w:rPr>
        <w:t>Приложении</w:t>
      </w:r>
      <w:proofErr w:type="gramEnd"/>
      <w:r w:rsidRPr="0015700B">
        <w:rPr>
          <w:rFonts w:asciiTheme="majorHAnsi" w:hAnsiTheme="majorHAnsi"/>
          <w:b/>
          <w:bCs/>
        </w:rPr>
        <w:t xml:space="preserve"> № 2</w:t>
      </w:r>
      <w:r w:rsidRPr="0015700B">
        <w:rPr>
          <w:rFonts w:asciiTheme="majorHAnsi" w:hAnsiTheme="majorHAnsi"/>
          <w:bCs/>
        </w:rPr>
        <w:t xml:space="preserve"> к Учетной политике.</w:t>
      </w:r>
      <w:bookmarkEnd w:id="42"/>
    </w:p>
    <w:p w:rsidR="00396313" w:rsidRPr="0015700B" w:rsidRDefault="00396313" w:rsidP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48" w:history="1">
        <w:proofErr w:type="spellStart"/>
        <w:r w:rsidRPr="0015700B">
          <w:rPr>
            <w:rStyle w:val="a3"/>
            <w:rFonts w:asciiTheme="majorHAnsi" w:hAnsiTheme="majorHAnsi"/>
            <w:b/>
            <w:i/>
            <w:color w:val="auto"/>
          </w:rPr>
          <w:t>пп</w:t>
        </w:r>
        <w:proofErr w:type="spellEnd"/>
        <w:r w:rsidRPr="0015700B">
          <w:rPr>
            <w:rStyle w:val="a3"/>
            <w:rFonts w:asciiTheme="majorHAnsi" w:hAnsiTheme="majorHAnsi"/>
            <w:b/>
            <w:i/>
            <w:color w:val="auto"/>
          </w:rPr>
          <w:t>. 2 п. 3.4 ст. 23</w:t>
        </w:r>
      </w:hyperlink>
      <w:r w:rsidRPr="0015700B">
        <w:rPr>
          <w:rFonts w:asciiTheme="majorHAnsi" w:hAnsiTheme="majorHAnsi"/>
          <w:b/>
          <w:i/>
        </w:rPr>
        <w:t xml:space="preserve">, </w:t>
      </w:r>
      <w:hyperlink r:id="rId49" w:history="1">
        <w:r w:rsidRPr="0015700B">
          <w:rPr>
            <w:rStyle w:val="a3"/>
            <w:rFonts w:asciiTheme="majorHAnsi" w:hAnsiTheme="majorHAnsi"/>
            <w:b/>
            <w:i/>
            <w:color w:val="auto"/>
          </w:rPr>
          <w:t>п. 4 ст. 431</w:t>
        </w:r>
      </w:hyperlink>
      <w:r w:rsidRPr="0015700B">
        <w:rPr>
          <w:rFonts w:asciiTheme="majorHAnsi" w:hAnsiTheme="majorHAnsi"/>
          <w:b/>
          <w:i/>
        </w:rPr>
        <w:t xml:space="preserve"> НК РФ)</w:t>
      </w:r>
    </w:p>
    <w:p w:rsidR="00396313" w:rsidRPr="0015700B" w:rsidRDefault="00396313" w:rsidP="002A42EE">
      <w:pPr>
        <w:jc w:val="both"/>
        <w:rPr>
          <w:rFonts w:asciiTheme="majorHAnsi" w:hAnsiTheme="majorHAnsi"/>
          <w:bCs/>
        </w:rPr>
      </w:pPr>
      <w:bookmarkStart w:id="43" w:name="_ref_1-da19a251533142"/>
      <w:bookmarkStart w:id="44" w:name="_GoBack"/>
      <w:r w:rsidRPr="0015700B">
        <w:rPr>
          <w:rFonts w:asciiTheme="majorHAnsi" w:hAnsiTheme="majorHAnsi"/>
          <w:bCs/>
        </w:rPr>
        <w:t xml:space="preserve">Учет начислений страховых взносов по обязательному социальному страхованию от несчастных случаев на производстве и профессиональных заболеваний ведется в карточках учета, форма которых приведена в </w:t>
      </w:r>
      <w:r w:rsidRPr="0015700B">
        <w:rPr>
          <w:rFonts w:asciiTheme="majorHAnsi" w:hAnsiTheme="majorHAnsi"/>
          <w:b/>
          <w:bCs/>
        </w:rPr>
        <w:t xml:space="preserve">Приложении № </w:t>
      </w:r>
      <w:r w:rsidRPr="0015700B">
        <w:rPr>
          <w:rFonts w:asciiTheme="majorHAnsi" w:hAnsiTheme="majorHAnsi"/>
          <w:bCs/>
        </w:rPr>
        <w:t>2 к Учетной политике.</w:t>
      </w:r>
      <w:bookmarkEnd w:id="43"/>
      <w:bookmarkEnd w:id="44"/>
    </w:p>
    <w:p w:rsidR="00396313" w:rsidRPr="0015700B" w:rsidRDefault="00396313">
      <w:pPr>
        <w:rPr>
          <w:rFonts w:asciiTheme="majorHAnsi" w:hAnsiTheme="majorHAnsi"/>
          <w:b/>
        </w:rPr>
      </w:pPr>
      <w:r w:rsidRPr="0015700B">
        <w:rPr>
          <w:rFonts w:asciiTheme="majorHAnsi" w:hAnsiTheme="majorHAnsi"/>
          <w:b/>
          <w:i/>
        </w:rPr>
        <w:t xml:space="preserve">(Основание: </w:t>
      </w:r>
      <w:hyperlink r:id="rId50" w:history="1">
        <w:proofErr w:type="spellStart"/>
        <w:r w:rsidRPr="0015700B">
          <w:rPr>
            <w:rStyle w:val="a3"/>
            <w:rFonts w:asciiTheme="majorHAnsi" w:hAnsiTheme="majorHAnsi"/>
            <w:b/>
            <w:i/>
            <w:color w:val="auto"/>
          </w:rPr>
          <w:t>пп</w:t>
        </w:r>
        <w:proofErr w:type="spellEnd"/>
        <w:r w:rsidRPr="0015700B">
          <w:rPr>
            <w:rStyle w:val="a3"/>
            <w:rFonts w:asciiTheme="majorHAnsi" w:hAnsiTheme="majorHAnsi"/>
            <w:b/>
            <w:i/>
            <w:color w:val="auto"/>
          </w:rPr>
          <w:t>. 17 п. 2 ст. 17</w:t>
        </w:r>
      </w:hyperlink>
      <w:r w:rsidRPr="0015700B">
        <w:rPr>
          <w:rFonts w:asciiTheme="majorHAnsi" w:hAnsiTheme="majorHAnsi"/>
          <w:b/>
          <w:i/>
        </w:rPr>
        <w:t xml:space="preserve"> Федерального закона от 24.07.1998 № 125-ФЗ)</w:t>
      </w:r>
    </w:p>
    <w:sectPr w:rsidR="00396313" w:rsidRPr="0015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77C9280F"/>
    <w:multiLevelType w:val="singleLevel"/>
    <w:tmpl w:val="BE6262B2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13"/>
    <w:rsid w:val="0015700B"/>
    <w:rsid w:val="002A42EE"/>
    <w:rsid w:val="00396313"/>
    <w:rsid w:val="00CD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313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13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13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13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13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13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13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13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13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31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6313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6313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631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6313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631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6313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6313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6313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styleId="a3">
    <w:name w:val="Hyperlink"/>
    <w:basedOn w:val="a0"/>
    <w:uiPriority w:val="99"/>
    <w:unhideWhenUsed/>
    <w:rsid w:val="003963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313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13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13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13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13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13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13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13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13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31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6313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6313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631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6313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631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6313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6313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6313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styleId="a3">
    <w:name w:val="Hyperlink"/>
    <w:basedOn w:val="a0"/>
    <w:uiPriority w:val="99"/>
    <w:unhideWhenUsed/>
    <w:rsid w:val="003963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.consultant.ru/riv/cgi/online.cgi?ref=9D8161AA42813FF2C5CEF20345109A18045E915A4D486592BF0D91A3DD55F1698951AD87C989255BD5FAEE92C7049B654393C4422B6702763792395C742FD29C8DDD4C43BB2402B724F63A4022D403E6C1ACE60AF36CdFRFM" TargetMode="External"/><Relationship Id="rId18" Type="http://schemas.openxmlformats.org/officeDocument/2006/relationships/hyperlink" Target="https://online.consultant.ru/riv/cgi/online.cgi?ref=9D8161AA42813FF2C5CEF20345109A18045E915A4D486592BF0D91A3DD55F1698951AD87C989255BD5F8EF9CC6009B654393C4422B6702763792395C762EDF9C85801654dAREM" TargetMode="External"/><Relationship Id="rId26" Type="http://schemas.openxmlformats.org/officeDocument/2006/relationships/hyperlink" Target="https://online.consultant.ru/riv/cgi/online.cgi?ref=9D8161AA42813FF2C5CEF20345109A18045E915A4D486592BF0D91A3DD55F1698951AD87C989255BD5FAEE92C7049B654393C4422B6702763792395C742AD49D85881653BF6D55BC38F62C5E29CA03E7C8F1BC15dER6M" TargetMode="External"/><Relationship Id="rId39" Type="http://schemas.openxmlformats.org/officeDocument/2006/relationships/hyperlink" Target="https://online.consultant.ru/riv/cgi/online.cgi?ref=9D8161AA42813FF2C5CEF20345109A18045E915A4D486592BF0D91A3DD55F1698951AD87C989255BD5F8EF9CC6009B654393C4422B6702763792395C742FD49D8CDC4C4BBB23d1R3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nline.consultant.ru/riv/cgi/online.cgi?ref=9D8161AA42813FF2C5CEF20345109A18045E915A4D486592BF0D91A3DD55F1698951AD87C989255BD5F8EF9CC6009B654393C4422B6702763792395C7028D59785801654dAREM" TargetMode="External"/><Relationship Id="rId34" Type="http://schemas.openxmlformats.org/officeDocument/2006/relationships/hyperlink" Target="https://online.consultant.ru/riv/cgi/online.cgi?ref=9D8161AA42813FF2C5CEF20345109A18045E915A4D486592BF0D91A3DD55F1698951AD87C989255BD5F8EF9CC6009B654393C4422B6702763792395C7626DE9A85801654dAREM" TargetMode="External"/><Relationship Id="rId42" Type="http://schemas.openxmlformats.org/officeDocument/2006/relationships/hyperlink" Target="https://online.consultant.ru/riv/cgi/online.cgi?ref=9D8161AA42813FF2C5CEF20345109A18045E915A4D486592BF0D91A3DD55F1698951AD87C989255BD5F8EF9CC6009B654393C4422B6702763792395C742FD59C8FDE4C4BBB23d1R3M" TargetMode="External"/><Relationship Id="rId47" Type="http://schemas.openxmlformats.org/officeDocument/2006/relationships/hyperlink" Target="https://online.consultant.ru/riv/cgi/online.cgi?ref=9D8161AA42813FF2C5CEF20345109A18045E915A4D486592BF0D91A3DD55F1698951AD87C989255BD5F8E09DCB0199654393C4422B6702763792395C7028DE9C85801654dAREM" TargetMode="External"/><Relationship Id="rId50" Type="http://schemas.openxmlformats.org/officeDocument/2006/relationships/hyperlink" Target="https://online.consultant.ru/riv/cgi/online.cgi?ref=9D8161AA42813FF2C5CEF20345109A18045E915A4D486592BF0D91A3DD55F1698951AD87C989255BD5FAE196C70599654393C4422B6702763792395C7D2ED295DA8D0342E76251A426FE3A422BC800ED9FFCAEd1R2M" TargetMode="External"/><Relationship Id="rId7" Type="http://schemas.openxmlformats.org/officeDocument/2006/relationships/hyperlink" Target="https://online.consultant.ru/riv/cgi/online.cgi?ref=9D8161AA42813FF2C5CEF20345109A18045E915A4D486592BF0D91A3DD55F1698951AD87C989255BD5FAE994C40091654393C4422B6702763792395C742FD59E8ADE4C4BBB23d1R3M" TargetMode="External"/><Relationship Id="rId12" Type="http://schemas.openxmlformats.org/officeDocument/2006/relationships/hyperlink" Target="https://online.consultant.ru/riv/cgi/online.cgi?ref=9D8161AA42813FF2C5CEF20345109A18045E915A4D486592BF0D91A3DD55F1698951AD87C989255BD5FAEE92C7049B654393C4422B6702763792395C742BD29C8DD71346AE355AB826E8244935C801E4C2A6B107E1d6RBM" TargetMode="External"/><Relationship Id="rId17" Type="http://schemas.openxmlformats.org/officeDocument/2006/relationships/hyperlink" Target="https://online.consultant.ru/riv/cgi/online.cgi?ref=9D8161AA42813FF2C5CEF20345109A18045E915A4D486592BF0D91A3DD55F1698951AD87C989255BD5F8EF9CC6009B654393C4422B6702763792395C742FD79688DC4C4BBB23d1R3M" TargetMode="External"/><Relationship Id="rId25" Type="http://schemas.openxmlformats.org/officeDocument/2006/relationships/hyperlink" Target="https://online.consultant.ru/riv/cgi/online.cgi?ref=9D8161AA42813FF2C5CEF20345109A18045E915A4D486592BF0D91A3DD55F1698951AD87C989255BD5F8EC92C2029F654393C4422B6702763792395C742FD59F8CDE4C4BBB23d1R3M" TargetMode="External"/><Relationship Id="rId33" Type="http://schemas.openxmlformats.org/officeDocument/2006/relationships/hyperlink" Target="https://online.consultant.ru/riv/cgi/online.cgi?ref=9D8161AA42813FF2C5CEF20345109A18045E915A4D486592BF0D91A3DD55F1698951AD87C989255BD5FAEC96CA019F654393C4422B6702763792395C742AD6998AD71346AE355AB827E8254035C801E4C3A6B107E1d6RBM" TargetMode="External"/><Relationship Id="rId38" Type="http://schemas.openxmlformats.org/officeDocument/2006/relationships/hyperlink" Target="https://online.consultant.ru/riv/cgi/online.cgi?ref=9D8161AA42813FF2C5CEF20345109A18045E915A4D486592BF0D91A3DD55F1698951AD87C989255BD5F8EF9CC6009B654393C4422B6702763792395C742FD49F88D84C4BBB23d1R3M" TargetMode="External"/><Relationship Id="rId46" Type="http://schemas.openxmlformats.org/officeDocument/2006/relationships/hyperlink" Target="https://online.consultant.ru/riv/cgi/online.cgi?ref=9D8161AA42813FF2C5CEF20345109A18045E915A4D486592BF0D91A3DD55F1698951AD87C989255BD5F8EF9CC6009B654393C4422B6702763792395C7328D69C85801654dAR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consultant.ru/riv/cgi/online.cgi?ref=9D8161AA42813FF2C5CEF20345109A18045E915A4D486592BF0D91A3DD55F1698951AD87C989255BD5F8EF9CC6009B654393C4422B6702763792395C742FD49A8BD44C4BBB23d1R3M" TargetMode="External"/><Relationship Id="rId20" Type="http://schemas.openxmlformats.org/officeDocument/2006/relationships/hyperlink" Target="https://online.consultant.ru/riv/cgi/online.cgi?ref=9D8161AA42813FF2C5CEF20345109A18045E915A4D486592BF0D91A3DD55F1698951AD87C989255BD5F8EF9CC6009B654393C4422B6702763792395C742FD49E8FD84C4BBB23d1R3M" TargetMode="External"/><Relationship Id="rId29" Type="http://schemas.openxmlformats.org/officeDocument/2006/relationships/hyperlink" Target="https://online.consultant.ru/riv/cgi/online.cgi?ref=9D8161AA42813FF2C5CEF20345109A18045E915A4D486592BF0D91A3DD55F1698951AD87C989255BD5F8EE95C00798654393C4422B6702763792395C7C28DE9985801654dAREM" TargetMode="External"/><Relationship Id="rId41" Type="http://schemas.openxmlformats.org/officeDocument/2006/relationships/hyperlink" Target="https://online.consultant.ru/riv/cgi/online.cgi?ref=9D8161AA42813FF2C5CEF20345109A18045E915A4D486592BF0D91A3DD55F1698951AD87C989255BD5F8EF9CC6009B654393C4422B6702763792395C742FD59C8FDE4C4BBB23d1R3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consultant.ru/riv/cgi/online.cgi?ref=9D8161AA42813FF2C5CEF20345109A18045E915A4D486592BF0D91A3DD55F1698951AD87C989255BD5FAE994C40091654393C4422B6702763792395C7028D79F85801654dAREM" TargetMode="External"/><Relationship Id="rId11" Type="http://schemas.openxmlformats.org/officeDocument/2006/relationships/hyperlink" Target="https://online.consultant.ru/riv/cgi/online.cgi?ref=9D8161AA42813FF2C5CEF20345109A18045E915A4D486592BF0D91A3DD55F1698951AD87C989255BD5FAEA95C7059A654393C4422B6702763792395C7D2BDE9785881653BF6D55BE38F62D5E29CA00EFC8F1BC15dER6M" TargetMode="External"/><Relationship Id="rId24" Type="http://schemas.openxmlformats.org/officeDocument/2006/relationships/hyperlink" Target="https://online.consultant.ru/riv/cgi/online.cgi?ref=9D8161AA42813FF2C5CEF20345109A18045E915A4D486592BF0D91A3DD55F1698951AD87C989255BD5F8EF9CC6009B654393C4422B6702763792395C712CD69685801654dAREM" TargetMode="External"/><Relationship Id="rId32" Type="http://schemas.openxmlformats.org/officeDocument/2006/relationships/hyperlink" Target="https://online.consultant.ru/riv/cgi/online.cgi?ref=9D8161AA42813FF2C5CEF20345109A18045E915A4D486592BF0D91A3DD55F1698951AD87C989255BD5F8EF9CC6009B654393C4422B6702763792395C712CD69785801654dAREM" TargetMode="External"/><Relationship Id="rId37" Type="http://schemas.openxmlformats.org/officeDocument/2006/relationships/hyperlink" Target="https://online.consultant.ru/riv/cgi/online.cgi?ref=9D8161AA42813FF2C5CEF20345109A18045E915A4D486592BF0D91A3DD55F1698951AD87C989255BD5F8EF9CC6009B654393C4422B6702763792395C742FD49F88DE4C4BBB23d1R3M" TargetMode="External"/><Relationship Id="rId40" Type="http://schemas.openxmlformats.org/officeDocument/2006/relationships/hyperlink" Target="https://online.consultant.ru/riv/cgi/online.cgi?ref=9D8161AA42813FF2C5CEF20345109A18045E915A4D486592BF0D91A3DD55F1698951AD87C989255BD5F8EF9CC6009B654393C4422B6702763792395C742FD49D8DD84C4BBB23d1R3M" TargetMode="External"/><Relationship Id="rId45" Type="http://schemas.openxmlformats.org/officeDocument/2006/relationships/hyperlink" Target="https://online.consultant.ru/riv/cgi/online.cgi?ref=9D8161AA42813FF2C5CEF20345109A18045E915A4D486592BF0D91A3DD55F1698951AD87C989255BD5F8EF9CC6009B654393C4422B6702763792395C742FD59C8CDC4C4BBB23d1R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.consultant.ru/riv/cgi/online.cgi?ref=9D8161AA42813FF2C5CEF20345109A18045E915A4D486592BF0D91A3DD55F1698951AD9ADD9B4D61D3A7E497C2029A6915C4C6137E69077E67DA29123122D79E8EDC4617E13406FE73FB264835CB01F8C1ADEF57A973EA75dERBM" TargetMode="External"/><Relationship Id="rId23" Type="http://schemas.openxmlformats.org/officeDocument/2006/relationships/hyperlink" Target="https://online.consultant.ru/riv/cgi/online.cgi?ref=9D8161AA42813FF2C5CEF20345109A18045E915A4D486592BF0D91A3DD55F1698951AD87C989255BD5F8EF9CC6009B654393C4422B6702763792395C742FD79789DB4C4BBB23d1R3M" TargetMode="External"/><Relationship Id="rId28" Type="http://schemas.openxmlformats.org/officeDocument/2006/relationships/hyperlink" Target="https://online.consultant.ru/riv/cgi/online.cgi?ref=9D8161AA42813FF2C5CEF20345109A18045E915A4D486592BF0D91A3DD55F1698951AD87C989255BD5F8EE95C00798654393C4422B6702763792395C7C28DE9985801654dAREM" TargetMode="External"/><Relationship Id="rId36" Type="http://schemas.openxmlformats.org/officeDocument/2006/relationships/hyperlink" Target="https://online.consultant.ru/riv/cgi/online.cgi?ref=9D8161AA42813FF2C5CEF20345109A18045E915A4D486592BF0D91A3DD55F1698951AD87C989255BD5F8EF9CC6009B654393C4422B6702763792395C7626DF9885801654dAREM" TargetMode="External"/><Relationship Id="rId49" Type="http://schemas.openxmlformats.org/officeDocument/2006/relationships/hyperlink" Target="https://online.consultant.ru/riv/cgi/online.cgi?ref=9D8161AA42813FF2C5CEF20345109A18045E915A4D486592BF0D91A3DD55F1698951AD87C989255BD5FAE994C40091654393C4422B6702763792395C742BD69E88D71B46A9d2R4M" TargetMode="External"/><Relationship Id="rId10" Type="http://schemas.openxmlformats.org/officeDocument/2006/relationships/hyperlink" Target="https://online.consultant.ru/riv/cgi/online.cgi?ref=9D8161AA42813FF2C5CEF20345109A18045E915A4D486592BF0D91A3DD55F1698951AD87C989255BD5F8EF9CC6009B654393C4422B6702763792395C742FD49889DE4C4BBB23d1R3M" TargetMode="External"/><Relationship Id="rId19" Type="http://schemas.openxmlformats.org/officeDocument/2006/relationships/hyperlink" Target="https://online.consultant.ru/riv/cgi/online.cgi?ref=9D8161AA42813FF2C5CEF20345109A18045E915A4D486592BF0D91A3DD55F1698951AD87C989255BD5F8EF9CC6009B654393C4422B6702763792395C742FD79786D44C4BBB23d1R3M" TargetMode="External"/><Relationship Id="rId31" Type="http://schemas.openxmlformats.org/officeDocument/2006/relationships/hyperlink" Target="https://online.consultant.ru/riv/cgi/online.cgi?ref=9D8161AA42813FF2C5CEF20345109A18045E915A4D486592BF0D91A3DD55F1698951AD87C989255BD5F8EF9CC6009B654393C4422B6702763792395C712DDF9885801654dAREM" TargetMode="External"/><Relationship Id="rId44" Type="http://schemas.openxmlformats.org/officeDocument/2006/relationships/hyperlink" Target="https://online.consultant.ru/riv/cgi/online.cgi?ref=9D8161AA42813FF2C5CEF20345109A18045E915A4D486592BF0D91A3DD55F1698951AD87C989255BD5F8EF9CC6009B654393C4422B6702763792395C742FD59C8FDE4C4BBB23d1R3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.consultant.ru/riv/cgi/online.cgi?ref=9D8161AA42813FF2C5CEF20345109A18045E915A4D486592BF0D91A3DD55F1698951AD87C989255BD5FAE99DCA009C654393C4422B6702763792395C742FD7968DD84C43BB2402B724F53A412BD403E6C2A5E60AF36CdFRFM" TargetMode="External"/><Relationship Id="rId14" Type="http://schemas.openxmlformats.org/officeDocument/2006/relationships/hyperlink" Target="https://online.consultant.ru/riv/cgi/online.cgi?ref=9D8161AA42813FF2C5CEF20345109A18045E915A4D486592BF0D91A3DD55F1698951AD87C989255BD5F8E09DCB0199654393C4422B6702763792395C742FD29C8DDF4C4BBB23d1R3M" TargetMode="External"/><Relationship Id="rId22" Type="http://schemas.openxmlformats.org/officeDocument/2006/relationships/hyperlink" Target="https://online.consultant.ru/riv/cgi/online.cgi?ref=9D8161AA42813FF2C5CEF20345109A18045E915A4D486592BF0D91A3DD55F1698951AD87C989255BD5F8EF9CC6009B654393C4422B6702763792395C742FD49C88D94C4BBB23d1R3M" TargetMode="External"/><Relationship Id="rId27" Type="http://schemas.openxmlformats.org/officeDocument/2006/relationships/hyperlink" Target="https://online.consultant.ru/riv/cgi/online.cgi?ref=9D8161AA42813FF2C5CEF20345109A18045E915A4D486592BF0D91A3DD55F1698951AD87C989255BD5F8EF9CC6009B654393C4422B6702763792395C742FD49E8ED54C4BBB23d1R3M" TargetMode="External"/><Relationship Id="rId30" Type="http://schemas.openxmlformats.org/officeDocument/2006/relationships/hyperlink" Target="https://online.consultant.ru/riv/cgi/online.cgi?ref=9D8161AA42813FF2C5CEF20345109A18045E915A4D486592BF0D91A3DD55F1698951AD87C989255BD5FAE994C40091654393C4422B6702763792395C712DD19D85801654dAREM" TargetMode="External"/><Relationship Id="rId35" Type="http://schemas.openxmlformats.org/officeDocument/2006/relationships/hyperlink" Target="https://online.consultant.ru/riv/cgi/online.cgi?ref=9D8161AA42813FF2C5CEF20345109A18045E915A4D486592BF0D91A3DD55F1698951AD87C989255BD5F8EF9CC6009B654393C4422B6702763792395C7626DF9B85801654dAREM" TargetMode="External"/><Relationship Id="rId43" Type="http://schemas.openxmlformats.org/officeDocument/2006/relationships/hyperlink" Target="https://online.consultant.ru/riv/cgi/online.cgi?ref=9D8161AA42813FF2C5CEF20345109A18045E915A4D486592BF0D91A3DD55F1698951AD87C989255BD5F8EF9CC6009B654393C4422B6702763792395C742FD59C8CDC4C4BBB23d1R3M" TargetMode="External"/><Relationship Id="rId48" Type="http://schemas.openxmlformats.org/officeDocument/2006/relationships/hyperlink" Target="https://online.consultant.ru/riv/cgi/online.cgi?ref=9D8161AA42813FF2C5CEF20345109A18045E915A4D486592BF0D91A3DD55F1698951AD87C989255BD5FAE991C30C9C654393C4422B6702763792395C7627D39885801654dAREM" TargetMode="External"/><Relationship Id="rId8" Type="http://schemas.openxmlformats.org/officeDocument/2006/relationships/hyperlink" Target="https://online.consultant.ru/riv/cgi/online.cgi?ref=9D8161AA42813FF2C5CEF20345109A18045E915A4D486592BF0D91A3DD55F1698951AD87C989255BD5FBE190C6009D654393C4422B6702763792395C742FD39C8BD44C4BBB23d1R3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cp:lastPrinted>2023-06-21T15:13:00Z</cp:lastPrinted>
  <dcterms:created xsi:type="dcterms:W3CDTF">2023-06-21T14:36:00Z</dcterms:created>
  <dcterms:modified xsi:type="dcterms:W3CDTF">2023-06-21T15:15:00Z</dcterms:modified>
</cp:coreProperties>
</file>